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FC5" w:rsidRDefault="008A092D">
      <w:pPr>
        <w:rPr>
          <w:b/>
          <w:sz w:val="24"/>
        </w:rPr>
      </w:pPr>
      <w:r>
        <w:rPr>
          <w:rFonts w:hint="eastAsia"/>
          <w:b/>
          <w:sz w:val="24"/>
        </w:rPr>
        <w:t>7.2</w:t>
      </w:r>
      <w:r w:rsidR="00916FC5"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>원가산정</w:t>
      </w:r>
    </w:p>
    <w:p w:rsidR="00916FC5" w:rsidRPr="00916FC5" w:rsidRDefault="008A092D" w:rsidP="00916FC5">
      <w:pPr>
        <w:pStyle w:val="a3"/>
        <w:numPr>
          <w:ilvl w:val="0"/>
          <w:numId w:val="22"/>
        </w:numPr>
        <w:ind w:leftChars="0"/>
        <w:rPr>
          <w:szCs w:val="20"/>
        </w:rPr>
      </w:pPr>
      <w:r>
        <w:rPr>
          <w:rFonts w:hint="eastAsia"/>
          <w:szCs w:val="20"/>
        </w:rPr>
        <w:t>프로젝트 활동을 완료하는데 필요한 금전적 자원의 근사치를 산정하는 프로세스이다.</w:t>
      </w:r>
    </w:p>
    <w:p w:rsidR="008A092D" w:rsidRPr="008A092D" w:rsidRDefault="008A092D" w:rsidP="008A092D">
      <w:pPr>
        <w:pStyle w:val="a3"/>
        <w:numPr>
          <w:ilvl w:val="0"/>
          <w:numId w:val="22"/>
        </w:numPr>
        <w:ind w:leftChars="0"/>
        <w:rPr>
          <w:szCs w:val="20"/>
        </w:rPr>
      </w:pPr>
      <w:r>
        <w:rPr>
          <w:rFonts w:hint="eastAsia"/>
          <w:szCs w:val="20"/>
        </w:rPr>
        <w:t>프로젝트작업을 완료하는데 필요한 총원가를 결정하는 이점이있다.</w:t>
      </w:r>
    </w:p>
    <w:p w:rsidR="00916FC5" w:rsidRPr="008A092D" w:rsidRDefault="00916FC5">
      <w:pPr>
        <w:rPr>
          <w:b/>
          <w:sz w:val="24"/>
        </w:rPr>
      </w:pPr>
    </w:p>
    <w:p w:rsidR="00916FC5" w:rsidRDefault="008A092D" w:rsidP="00916FC5">
      <w:pPr>
        <w:ind w:leftChars="100" w:left="200"/>
      </w:pPr>
      <w:r>
        <w:rPr>
          <w:rFonts w:hint="eastAsia"/>
        </w:rPr>
        <w:t>7.2</w:t>
      </w:r>
      <w:r w:rsidR="00916FC5">
        <w:rPr>
          <w:rFonts w:hint="eastAsia"/>
        </w:rPr>
        <w:t xml:space="preserve">.1 </w:t>
      </w:r>
      <w:r>
        <w:rPr>
          <w:rFonts w:hint="eastAsia"/>
        </w:rPr>
        <w:t>원가산정</w:t>
      </w:r>
      <w:r w:rsidR="00916FC5">
        <w:rPr>
          <w:rFonts w:hint="eastAsia"/>
        </w:rPr>
        <w:t>: 투입물(Input)</w:t>
      </w:r>
    </w:p>
    <w:p w:rsidR="00916FC5" w:rsidRDefault="008A092D" w:rsidP="00916FC5">
      <w:pPr>
        <w:ind w:leftChars="200" w:left="400"/>
      </w:pPr>
      <w:r>
        <w:rPr>
          <w:rFonts w:hint="eastAsia"/>
        </w:rPr>
        <w:t>7.2</w:t>
      </w:r>
      <w:r w:rsidR="00916FC5">
        <w:rPr>
          <w:rFonts w:hint="eastAsia"/>
        </w:rPr>
        <w:t xml:space="preserve">.1.1 </w:t>
      </w:r>
      <w:r>
        <w:rPr>
          <w:rFonts w:hint="eastAsia"/>
        </w:rPr>
        <w:t>원가관리</w:t>
      </w:r>
      <w:r w:rsidR="00916FC5">
        <w:rPr>
          <w:rFonts w:hint="eastAsia"/>
        </w:rPr>
        <w:t xml:space="preserve"> 계획서</w:t>
      </w:r>
    </w:p>
    <w:p w:rsidR="00916FC5" w:rsidRPr="008A092D" w:rsidRDefault="008A092D" w:rsidP="008A092D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</w:rPr>
        <w:t>프로젝트 원가가 관리되고 통제되는 방식을 정의한다.</w:t>
      </w:r>
    </w:p>
    <w:p w:rsidR="008A092D" w:rsidRDefault="008A092D" w:rsidP="008A092D">
      <w:pPr>
        <w:pStyle w:val="a3"/>
        <w:ind w:leftChars="0" w:left="1200"/>
        <w:rPr>
          <w:b/>
          <w:sz w:val="24"/>
        </w:rPr>
      </w:pPr>
    </w:p>
    <w:p w:rsidR="008A092D" w:rsidRDefault="008A092D" w:rsidP="008A092D">
      <w:pPr>
        <w:ind w:leftChars="200" w:left="400"/>
      </w:pPr>
      <w:r>
        <w:rPr>
          <w:rFonts w:hint="eastAsia"/>
        </w:rPr>
        <w:t>7.2.1.2 인적자원관리 계획서</w:t>
      </w:r>
    </w:p>
    <w:p w:rsidR="00916FC5" w:rsidRPr="008A092D" w:rsidRDefault="008A092D" w:rsidP="008A092D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</w:rPr>
        <w:t>프로젝트 원가 산정치를 수립하기 위해 필요한 구성요소인 프로젝트 팀원 구성 특성, 인건비 및 관련 보상/수당을 제공한다.</w:t>
      </w:r>
    </w:p>
    <w:p w:rsidR="00916FC5" w:rsidRDefault="00916FC5">
      <w:pPr>
        <w:rPr>
          <w:b/>
          <w:sz w:val="24"/>
        </w:rPr>
      </w:pPr>
    </w:p>
    <w:p w:rsidR="008A092D" w:rsidRDefault="008A092D" w:rsidP="008A092D">
      <w:pPr>
        <w:pStyle w:val="a3"/>
        <w:numPr>
          <w:ilvl w:val="3"/>
          <w:numId w:val="25"/>
        </w:numPr>
        <w:ind w:leftChars="0"/>
      </w:pPr>
      <w:r>
        <w:rPr>
          <w:rFonts w:hint="eastAsia"/>
        </w:rPr>
        <w:t>범위 기준선</w:t>
      </w:r>
    </w:p>
    <w:p w:rsidR="008A092D" w:rsidRPr="008A092D" w:rsidRDefault="008A092D" w:rsidP="008A092D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</w:rPr>
        <w:t>프로젝트 범위기술서 : 프로젝트와 관련된 제품 설명, 인수기준, 주요 인도물, 프로젝트 경계, 가정 및 제약 정보를 제공한다. 간접비용의 적용 여부에 대한 기본 가정을 해야 한다.</w:t>
      </w:r>
    </w:p>
    <w:p w:rsidR="008A092D" w:rsidRPr="008A092D" w:rsidRDefault="008A092D" w:rsidP="008A092D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</w:rPr>
        <w:t>작업분류체계 : WBS 사전은 인도물에 관한 상세 정보 및 각 인도물을 생성하는 데 필요한 WBS의 각 구성요소에 대한 작업 설명을 제공한다.</w:t>
      </w:r>
    </w:p>
    <w:p w:rsidR="008A092D" w:rsidRPr="008A092D" w:rsidRDefault="008A092D" w:rsidP="008A092D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</w:rPr>
        <w:t>WBS 사전 : WBS 사전은 인도물에 관한 상세 정보 및 각 인도물을 생성하는 데 필요한 WBS의 각 구성요소에 대한 작업 설명을 제공한다.</w:t>
      </w:r>
    </w:p>
    <w:p w:rsidR="008A092D" w:rsidRPr="008A092D" w:rsidRDefault="008A092D" w:rsidP="008A092D">
      <w:pPr>
        <w:ind w:left="800"/>
        <w:rPr>
          <w:b/>
          <w:sz w:val="24"/>
        </w:rPr>
      </w:pPr>
    </w:p>
    <w:p w:rsidR="008A092D" w:rsidRDefault="008A092D" w:rsidP="008A092D">
      <w:pPr>
        <w:ind w:leftChars="200" w:left="400"/>
      </w:pPr>
      <w:r>
        <w:rPr>
          <w:rFonts w:hint="eastAsia"/>
        </w:rPr>
        <w:t>7.2.1.4 프로젝트 일정</w:t>
      </w:r>
    </w:p>
    <w:p w:rsidR="00343E2C" w:rsidRPr="00343E2C" w:rsidRDefault="00343E2C" w:rsidP="00343E2C">
      <w:pPr>
        <w:pStyle w:val="a3"/>
        <w:numPr>
          <w:ilvl w:val="0"/>
          <w:numId w:val="1"/>
        </w:numPr>
        <w:ind w:leftChars="0"/>
        <w:rPr>
          <w:b/>
          <w:szCs w:val="20"/>
        </w:rPr>
      </w:pPr>
      <w:r>
        <w:rPr>
          <w:rFonts w:hint="eastAsia"/>
        </w:rPr>
        <w:t>일정활동 자원과 해당 지속 시간은 이 프로세스에 핵심적 투입물로 이용된</w:t>
      </w:r>
      <w:r w:rsidRPr="00343E2C">
        <w:rPr>
          <w:rFonts w:hint="eastAsia"/>
          <w:szCs w:val="20"/>
        </w:rPr>
        <w:t xml:space="preserve">다. </w:t>
      </w:r>
    </w:p>
    <w:p w:rsidR="00343E2C" w:rsidRPr="00343E2C" w:rsidRDefault="00343E2C" w:rsidP="00343E2C">
      <w:pPr>
        <w:pStyle w:val="a3"/>
        <w:numPr>
          <w:ilvl w:val="0"/>
          <w:numId w:val="1"/>
        </w:numPr>
        <w:ind w:leftChars="0"/>
        <w:rPr>
          <w:b/>
          <w:szCs w:val="20"/>
        </w:rPr>
      </w:pPr>
      <w:r w:rsidRPr="00343E2C">
        <w:rPr>
          <w:rFonts w:hint="eastAsia"/>
          <w:szCs w:val="20"/>
        </w:rPr>
        <w:t>활동자원 산정에는 일정활동 수행에 필요한 인원 및 작업 시간의 가용 여부와 자재 및 장비의 수량을 결정하는 부분 등이 포함된다.</w:t>
      </w:r>
    </w:p>
    <w:p w:rsidR="00916FC5" w:rsidRPr="00343E2C" w:rsidRDefault="00916FC5">
      <w:pPr>
        <w:rPr>
          <w:b/>
          <w:szCs w:val="20"/>
        </w:rPr>
      </w:pPr>
    </w:p>
    <w:p w:rsidR="00343E2C" w:rsidRDefault="00343E2C" w:rsidP="00343E2C">
      <w:pPr>
        <w:ind w:leftChars="200" w:left="400"/>
      </w:pPr>
      <w:r>
        <w:rPr>
          <w:rFonts w:hint="eastAsia"/>
        </w:rPr>
        <w:t>7.2.1.5 리스크 관리대장</w:t>
      </w:r>
    </w:p>
    <w:p w:rsidR="00916FC5" w:rsidRPr="00B3432D" w:rsidRDefault="00343E2C" w:rsidP="00343E2C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</w:rPr>
        <w:t xml:space="preserve">리스크 대응 비용을 고려하기 위하여 리스크 관리대장을 검토해야 </w:t>
      </w:r>
      <w:r w:rsidRPr="00B3432D">
        <w:rPr>
          <w:rFonts w:hint="eastAsia"/>
        </w:rPr>
        <w:t>한다.</w:t>
      </w:r>
    </w:p>
    <w:p w:rsidR="00343E2C" w:rsidRPr="00B3432D" w:rsidRDefault="00343E2C" w:rsidP="00343E2C">
      <w:pPr>
        <w:pStyle w:val="a3"/>
        <w:numPr>
          <w:ilvl w:val="0"/>
          <w:numId w:val="1"/>
        </w:numPr>
        <w:ind w:leftChars="0"/>
        <w:rPr>
          <w:szCs w:val="20"/>
        </w:rPr>
      </w:pPr>
      <w:r w:rsidRPr="00B3432D">
        <w:rPr>
          <w:rFonts w:hint="eastAsia"/>
          <w:szCs w:val="20"/>
        </w:rPr>
        <w:t>위험이나 기회가 될 수 있는 리스크는 일반적으로 활동 및 전체 프로젝트 원가에 영향을 미친다.</w:t>
      </w:r>
    </w:p>
    <w:p w:rsidR="00343E2C" w:rsidRPr="00B3432D" w:rsidRDefault="00343E2C" w:rsidP="00343E2C">
      <w:pPr>
        <w:pStyle w:val="a3"/>
        <w:numPr>
          <w:ilvl w:val="0"/>
          <w:numId w:val="1"/>
        </w:numPr>
        <w:ind w:leftChars="0"/>
        <w:rPr>
          <w:szCs w:val="20"/>
        </w:rPr>
      </w:pPr>
      <w:r w:rsidRPr="00B3432D">
        <w:rPr>
          <w:rFonts w:hint="eastAsia"/>
          <w:szCs w:val="20"/>
        </w:rPr>
        <w:t>프로젝트에 부정적으로 작용하는 리스크가 발생하면 프로젝트의 원가가 단기적으로 증가하는 것이 보통</w:t>
      </w:r>
      <w:r w:rsidR="00B3432D" w:rsidRPr="00B3432D">
        <w:rPr>
          <w:rFonts w:hint="eastAsia"/>
          <w:szCs w:val="20"/>
        </w:rPr>
        <w:t>이며 때로는 프로젝트 일정에 지연이 발생한다.</w:t>
      </w:r>
    </w:p>
    <w:p w:rsidR="00B3432D" w:rsidRPr="00B3432D" w:rsidRDefault="00B3432D" w:rsidP="00B3432D">
      <w:pPr>
        <w:ind w:left="800"/>
        <w:rPr>
          <w:szCs w:val="20"/>
        </w:rPr>
      </w:pPr>
    </w:p>
    <w:p w:rsidR="00B3432D" w:rsidRDefault="00B3432D" w:rsidP="00B3432D">
      <w:pPr>
        <w:ind w:leftChars="200" w:left="400"/>
      </w:pPr>
      <w:r>
        <w:rPr>
          <w:rFonts w:hint="eastAsia"/>
        </w:rPr>
        <w:t>7.2.1.6 기업환경요인</w:t>
      </w:r>
    </w:p>
    <w:p w:rsidR="007F06B4" w:rsidRPr="007F06B4" w:rsidRDefault="007F06B4" w:rsidP="00B3432D">
      <w:pPr>
        <w:pStyle w:val="a3"/>
        <w:numPr>
          <w:ilvl w:val="0"/>
          <w:numId w:val="1"/>
        </w:numPr>
        <w:ind w:leftChars="0"/>
        <w:rPr>
          <w:rFonts w:hint="eastAsia"/>
          <w:szCs w:val="20"/>
        </w:rPr>
      </w:pPr>
      <w:r>
        <w:rPr>
          <w:rFonts w:hint="eastAsia"/>
          <w:kern w:val="0"/>
        </w:rPr>
        <w:t>4.1.1.4절 참조</w:t>
      </w:r>
    </w:p>
    <w:p w:rsidR="00916FC5" w:rsidRPr="00B3432D" w:rsidRDefault="00B3432D" w:rsidP="00B3432D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</w:rPr>
        <w:t xml:space="preserve">시장 상황 : 어떤 제품, 서비스 및 결과물을 누구로부터, 그리고 어떠한 조건과 규정 아래 입수할 수 있는지에 대해서 설명한다. </w:t>
      </w:r>
    </w:p>
    <w:p w:rsidR="00B3432D" w:rsidRPr="00B3432D" w:rsidRDefault="00B3432D" w:rsidP="00B3432D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</w:rPr>
        <w:t>출간된 상용 정보 : 인적자원의 기량과 인건비를 추적하고 자재 및 장비에 대한 표</w:t>
      </w:r>
      <w:r>
        <w:rPr>
          <w:rFonts w:hint="eastAsia"/>
        </w:rPr>
        <w:lastRenderedPageBreak/>
        <w:t>준 원가를 제공하는 상용 데이터베이스에서 자원의 단위원가 정보를 구할 수도 있다. 출간된 판매자 가젹 목록도 또 다른 정보원이다.</w:t>
      </w:r>
    </w:p>
    <w:p w:rsidR="00B3432D" w:rsidRPr="00B3432D" w:rsidRDefault="00B3432D" w:rsidP="00B3432D">
      <w:pPr>
        <w:pStyle w:val="a3"/>
        <w:ind w:leftChars="0" w:left="1200"/>
        <w:rPr>
          <w:szCs w:val="20"/>
        </w:rPr>
      </w:pPr>
    </w:p>
    <w:p w:rsidR="00B3432D" w:rsidRDefault="00B3432D" w:rsidP="00B3432D">
      <w:pPr>
        <w:ind w:leftChars="200" w:left="400"/>
      </w:pPr>
      <w:r>
        <w:rPr>
          <w:rFonts w:hint="eastAsia"/>
        </w:rPr>
        <w:t>7.2.1.7 조직 프로세스 자산</w:t>
      </w:r>
    </w:p>
    <w:p w:rsidR="007F06B4" w:rsidRDefault="007F06B4" w:rsidP="00B3432D">
      <w:pPr>
        <w:pStyle w:val="a3"/>
        <w:numPr>
          <w:ilvl w:val="0"/>
          <w:numId w:val="1"/>
        </w:numPr>
        <w:ind w:leftChars="0"/>
        <w:rPr>
          <w:rFonts w:hint="eastAsia"/>
          <w:szCs w:val="20"/>
        </w:rPr>
      </w:pPr>
      <w:r>
        <w:rPr>
          <w:rFonts w:hint="eastAsia"/>
          <w:kern w:val="0"/>
        </w:rPr>
        <w:t>4.1.1.5절 참조</w:t>
      </w:r>
    </w:p>
    <w:p w:rsidR="00916FC5" w:rsidRPr="00B3432D" w:rsidRDefault="00B3432D" w:rsidP="00B3432D">
      <w:pPr>
        <w:pStyle w:val="a3"/>
        <w:numPr>
          <w:ilvl w:val="0"/>
          <w:numId w:val="1"/>
        </w:numPr>
        <w:ind w:leftChars="0"/>
        <w:rPr>
          <w:szCs w:val="20"/>
        </w:rPr>
      </w:pPr>
      <w:r w:rsidRPr="00B3432D">
        <w:rPr>
          <w:rFonts w:hint="eastAsia"/>
          <w:szCs w:val="20"/>
        </w:rPr>
        <w:t>원가산정 프로세스에 영향을 미치는 조직 프로세스 자산의 일부 예</w:t>
      </w:r>
    </w:p>
    <w:p w:rsidR="00916FC5" w:rsidRPr="00B3432D" w:rsidRDefault="00B3432D" w:rsidP="00B3432D">
      <w:pPr>
        <w:pStyle w:val="a3"/>
        <w:numPr>
          <w:ilvl w:val="0"/>
          <w:numId w:val="26"/>
        </w:numPr>
        <w:ind w:leftChars="0"/>
        <w:rPr>
          <w:szCs w:val="20"/>
        </w:rPr>
      </w:pPr>
      <w:r w:rsidRPr="00B3432D">
        <w:rPr>
          <w:rFonts w:hint="eastAsia"/>
          <w:szCs w:val="20"/>
        </w:rPr>
        <w:t>원가산정 정책</w:t>
      </w:r>
    </w:p>
    <w:p w:rsidR="00B3432D" w:rsidRPr="00B3432D" w:rsidRDefault="00B3432D" w:rsidP="00B3432D">
      <w:pPr>
        <w:pStyle w:val="a3"/>
        <w:numPr>
          <w:ilvl w:val="0"/>
          <w:numId w:val="26"/>
        </w:numPr>
        <w:ind w:leftChars="0"/>
        <w:rPr>
          <w:szCs w:val="20"/>
        </w:rPr>
      </w:pPr>
      <w:r w:rsidRPr="00B3432D">
        <w:rPr>
          <w:rFonts w:hint="eastAsia"/>
          <w:szCs w:val="20"/>
        </w:rPr>
        <w:t>원가산정 탬플릿</w:t>
      </w:r>
    </w:p>
    <w:p w:rsidR="00B3432D" w:rsidRPr="00B3432D" w:rsidRDefault="00B3432D" w:rsidP="00B3432D">
      <w:pPr>
        <w:pStyle w:val="a3"/>
        <w:numPr>
          <w:ilvl w:val="0"/>
          <w:numId w:val="26"/>
        </w:numPr>
        <w:ind w:leftChars="0"/>
        <w:rPr>
          <w:szCs w:val="20"/>
        </w:rPr>
      </w:pPr>
      <w:r w:rsidRPr="00B3432D">
        <w:rPr>
          <w:rFonts w:hint="eastAsia"/>
          <w:szCs w:val="20"/>
        </w:rPr>
        <w:t>선례정보</w:t>
      </w:r>
    </w:p>
    <w:p w:rsidR="00B3432D" w:rsidRPr="00B3432D" w:rsidRDefault="00B3432D" w:rsidP="00B3432D">
      <w:pPr>
        <w:pStyle w:val="a3"/>
        <w:numPr>
          <w:ilvl w:val="0"/>
          <w:numId w:val="26"/>
        </w:numPr>
        <w:ind w:leftChars="0"/>
        <w:rPr>
          <w:szCs w:val="20"/>
        </w:rPr>
      </w:pPr>
      <w:r w:rsidRPr="00B3432D">
        <w:rPr>
          <w:rFonts w:hint="eastAsia"/>
          <w:szCs w:val="20"/>
        </w:rPr>
        <w:t>교훈</w:t>
      </w:r>
    </w:p>
    <w:p w:rsidR="00916FC5" w:rsidRPr="00B3432D" w:rsidRDefault="00916FC5">
      <w:pPr>
        <w:rPr>
          <w:b/>
          <w:szCs w:val="20"/>
        </w:rPr>
      </w:pPr>
    </w:p>
    <w:p w:rsidR="00B3432D" w:rsidRDefault="00B3432D" w:rsidP="00B3432D">
      <w:pPr>
        <w:ind w:leftChars="100" w:left="200"/>
      </w:pPr>
      <w:r>
        <w:rPr>
          <w:rFonts w:hint="eastAsia"/>
        </w:rPr>
        <w:t>7.2.2 원가산정: 도구 및 기법</w:t>
      </w:r>
    </w:p>
    <w:p w:rsidR="00B3432D" w:rsidRDefault="00B3432D" w:rsidP="00B3432D">
      <w:pPr>
        <w:ind w:leftChars="200" w:left="400"/>
      </w:pPr>
      <w:r>
        <w:rPr>
          <w:rFonts w:hint="eastAsia"/>
        </w:rPr>
        <w:t>7.2.2.1 전문가 판단</w:t>
      </w:r>
    </w:p>
    <w:p w:rsidR="00B3432D" w:rsidRPr="00B3432D" w:rsidRDefault="00B3432D" w:rsidP="00B3432D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</w:rPr>
        <w:t>선례정보에 근거한 전문가 판단은 과거 유사한 프로젝트의 환경 및 정보에 대한 귀중한 통찰력을 제공한다.</w:t>
      </w:r>
    </w:p>
    <w:p w:rsidR="00B3432D" w:rsidRPr="008A092D" w:rsidRDefault="00B3432D" w:rsidP="00B3432D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</w:rPr>
        <w:t>여러 가지 산정 바업ㅂ을 결합할지 여부와 산정 방법들 사이의 차이를 조정할 방법을 결정하는 데도 사용된다.</w:t>
      </w:r>
    </w:p>
    <w:p w:rsidR="00B3432D" w:rsidRDefault="00B3432D" w:rsidP="00B3432D">
      <w:pPr>
        <w:pStyle w:val="a3"/>
        <w:ind w:leftChars="0" w:left="1200"/>
        <w:rPr>
          <w:b/>
          <w:sz w:val="24"/>
        </w:rPr>
      </w:pPr>
    </w:p>
    <w:p w:rsidR="00B3432D" w:rsidRDefault="00B3432D" w:rsidP="00B3432D">
      <w:pPr>
        <w:ind w:leftChars="200" w:left="400"/>
      </w:pPr>
      <w:r>
        <w:rPr>
          <w:rFonts w:hint="eastAsia"/>
        </w:rPr>
        <w:t>7.2.2.2 유사산정(Analogous Estimating)</w:t>
      </w:r>
    </w:p>
    <w:p w:rsidR="00B3432D" w:rsidRPr="00B3432D" w:rsidRDefault="00B3432D" w:rsidP="00B3432D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t>과거</w:t>
      </w:r>
      <w:r>
        <w:rPr>
          <w:rFonts w:hint="eastAsia"/>
        </w:rPr>
        <w:t xml:space="preserve"> 유사 프로젝트의 범위, 원가, 예산, 기간 등과 같은 값 또는 크기, 중량 및 복잡성 등의 수치를 근거로 현재 프로젝트에 대한 동일 모수 또는 수치를 산정한다. </w:t>
      </w:r>
    </w:p>
    <w:p w:rsidR="00B3432D" w:rsidRPr="008A092D" w:rsidRDefault="00B3432D" w:rsidP="00B3432D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</w:rPr>
        <w:t>과거 유사한 프로젝트의 실제원가가 현재 프로젝트의 원가를 산정하기 위한 기준이 된다.</w:t>
      </w:r>
    </w:p>
    <w:p w:rsidR="00823739" w:rsidRDefault="00823739">
      <w:pPr>
        <w:widowControl/>
        <w:wordWrap/>
        <w:autoSpaceDE/>
        <w:autoSpaceDN/>
        <w:jc w:val="left"/>
      </w:pPr>
    </w:p>
    <w:p w:rsidR="00B3432D" w:rsidRDefault="00B3432D" w:rsidP="00B3432D">
      <w:pPr>
        <w:ind w:leftChars="200" w:left="400"/>
      </w:pPr>
      <w:r>
        <w:rPr>
          <w:rFonts w:hint="eastAsia"/>
        </w:rPr>
        <w:t>7.2.2.3 모수산정</w:t>
      </w:r>
    </w:p>
    <w:p w:rsidR="00B3432D" w:rsidRPr="00B3432D" w:rsidRDefault="00B3432D" w:rsidP="00B3432D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</w:rPr>
        <w:t xml:space="preserve">선례 데이터와 다른 변수 사이의 통계적 관계를 이용하여 프로젝트작업에 대한 원가 산정치를 계산한다. </w:t>
      </w:r>
    </w:p>
    <w:p w:rsidR="00B3432D" w:rsidRPr="00B3432D" w:rsidRDefault="00B3432D" w:rsidP="00B3432D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</w:rPr>
        <w:t xml:space="preserve">기초 데이터와 정교함에 따라 정확도 높은 결과를 산출할 수 있다. </w:t>
      </w:r>
    </w:p>
    <w:p w:rsidR="00B3432D" w:rsidRPr="00827320" w:rsidRDefault="00B3432D" w:rsidP="00B3432D">
      <w:pPr>
        <w:pStyle w:val="a3"/>
        <w:numPr>
          <w:ilvl w:val="0"/>
          <w:numId w:val="1"/>
        </w:numPr>
        <w:ind w:leftChars="0"/>
        <w:rPr>
          <w:b/>
          <w:szCs w:val="20"/>
        </w:rPr>
      </w:pPr>
      <w:r>
        <w:rPr>
          <w:rFonts w:hint="eastAsia"/>
        </w:rPr>
        <w:t xml:space="preserve">모수 원가 산정치는 </w:t>
      </w:r>
      <w:r w:rsidR="00827320">
        <w:rPr>
          <w:rFonts w:hint="eastAsia"/>
        </w:rPr>
        <w:t xml:space="preserve">프로젝트 전체 또는 일부분에 적용할 수 있고, 다른 산정기법과 </w:t>
      </w:r>
      <w:r w:rsidR="00827320" w:rsidRPr="00827320">
        <w:rPr>
          <w:rFonts w:hint="eastAsia"/>
          <w:szCs w:val="20"/>
        </w:rPr>
        <w:t xml:space="preserve">연동하여 사용할 수도 있다. </w:t>
      </w:r>
    </w:p>
    <w:p w:rsidR="00827320" w:rsidRDefault="00827320" w:rsidP="00827320">
      <w:pPr>
        <w:rPr>
          <w:b/>
          <w:szCs w:val="20"/>
        </w:rPr>
      </w:pPr>
    </w:p>
    <w:p w:rsidR="00827320" w:rsidRDefault="00827320" w:rsidP="00827320">
      <w:pPr>
        <w:ind w:leftChars="200" w:left="400"/>
      </w:pPr>
      <w:r>
        <w:rPr>
          <w:rFonts w:hint="eastAsia"/>
        </w:rPr>
        <w:t>7.2.2.4 상향식 산정법</w:t>
      </w:r>
    </w:p>
    <w:p w:rsidR="00827320" w:rsidRPr="00827320" w:rsidRDefault="00827320" w:rsidP="00827320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</w:rPr>
        <w:t>작업의 구성요소를 산정하는 기법의 일종이다.</w:t>
      </w:r>
    </w:p>
    <w:p w:rsidR="00827320" w:rsidRPr="00827320" w:rsidRDefault="00827320" w:rsidP="00827320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</w:rPr>
        <w:t>개별 작업패키지 또는 활동 원가 수준에서 최대한 세밀하게 산정한다.</w:t>
      </w:r>
    </w:p>
    <w:p w:rsidR="00827320" w:rsidRPr="008A092D" w:rsidRDefault="00827320" w:rsidP="00827320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</w:rPr>
        <w:t>이후 보고와 추적 목적으로 이용된다.</w:t>
      </w:r>
    </w:p>
    <w:p w:rsidR="00827320" w:rsidRPr="00827320" w:rsidRDefault="00827320" w:rsidP="00827320">
      <w:pPr>
        <w:rPr>
          <w:b/>
          <w:szCs w:val="20"/>
        </w:rPr>
      </w:pPr>
    </w:p>
    <w:p w:rsidR="00827320" w:rsidRDefault="00827320" w:rsidP="00827320">
      <w:pPr>
        <w:ind w:leftChars="200" w:left="400"/>
      </w:pPr>
      <w:r>
        <w:rPr>
          <w:rFonts w:hint="eastAsia"/>
        </w:rPr>
        <w:t>7.2.2.5 3점 산정</w:t>
      </w:r>
    </w:p>
    <w:p w:rsidR="00827320" w:rsidRPr="00827320" w:rsidRDefault="00827320" w:rsidP="00827320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</w:rPr>
        <w:t>최빈치 : 필요한 작업 및 예상되는 지출에 대한 실적적 업무량 평가</w:t>
      </w:r>
      <w:r w:rsidRPr="00827320">
        <w:rPr>
          <w:rFonts w:hint="eastAsia"/>
          <w:szCs w:val="20"/>
        </w:rPr>
        <w:t>를 근거로 산출된 활동</w:t>
      </w:r>
    </w:p>
    <w:p w:rsidR="00827320" w:rsidRPr="00827320" w:rsidRDefault="00827320" w:rsidP="00827320">
      <w:pPr>
        <w:pStyle w:val="a3"/>
        <w:numPr>
          <w:ilvl w:val="0"/>
          <w:numId w:val="1"/>
        </w:numPr>
        <w:ind w:leftChars="0"/>
        <w:rPr>
          <w:szCs w:val="20"/>
        </w:rPr>
      </w:pPr>
      <w:r w:rsidRPr="00827320">
        <w:rPr>
          <w:rFonts w:hint="eastAsia"/>
          <w:szCs w:val="20"/>
        </w:rPr>
        <w:lastRenderedPageBreak/>
        <w:t>낙관치 : 최상의 활동 시나리오에 대한 분석에 근거한 활동 원가이다.</w:t>
      </w:r>
    </w:p>
    <w:p w:rsidR="00827320" w:rsidRDefault="00827320" w:rsidP="00827320">
      <w:pPr>
        <w:pStyle w:val="a3"/>
        <w:numPr>
          <w:ilvl w:val="0"/>
          <w:numId w:val="1"/>
        </w:numPr>
        <w:ind w:leftChars="0"/>
        <w:rPr>
          <w:szCs w:val="20"/>
        </w:rPr>
      </w:pPr>
      <w:r w:rsidRPr="00827320">
        <w:rPr>
          <w:rFonts w:hint="eastAsia"/>
          <w:szCs w:val="20"/>
        </w:rPr>
        <w:t>비관치 : 최악의 활동 시나리오에 대한 분석에 근거한 활동 원가이다.</w:t>
      </w:r>
    </w:p>
    <w:p w:rsidR="00827320" w:rsidRDefault="00827320" w:rsidP="00827320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>삼각분포 : cE=(c0+cM+cP)/3</w:t>
      </w:r>
    </w:p>
    <w:p w:rsidR="00827320" w:rsidRDefault="00827320" w:rsidP="00827320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>베타분호 : cE=(c0+4c&lt;+cP)/6</w:t>
      </w:r>
    </w:p>
    <w:p w:rsidR="00827320" w:rsidRDefault="00827320" w:rsidP="00827320">
      <w:pPr>
        <w:rPr>
          <w:szCs w:val="20"/>
        </w:rPr>
      </w:pPr>
    </w:p>
    <w:p w:rsidR="00827320" w:rsidRDefault="00827320" w:rsidP="00827320">
      <w:pPr>
        <w:ind w:leftChars="200" w:left="400"/>
      </w:pPr>
      <w:r>
        <w:rPr>
          <w:rFonts w:hint="eastAsia"/>
        </w:rPr>
        <w:t>7.2.2.6 예비비 분석</w:t>
      </w:r>
    </w:p>
    <w:p w:rsidR="00827320" w:rsidRPr="00827320" w:rsidRDefault="00827320" w:rsidP="00827320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</w:rPr>
        <w:t>원가 불확실성에 대비하여 우발사태 예비비를 포함시킬 수 있다.</w:t>
      </w:r>
    </w:p>
    <w:p w:rsidR="00827320" w:rsidRPr="00827320" w:rsidRDefault="00827320" w:rsidP="00827320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</w:rPr>
        <w:t>더 정확한 정보가 입수됨에 따라 우발사테 예비비를 사용, 감축 또는 제거할 수 있다.</w:t>
      </w:r>
    </w:p>
    <w:p w:rsidR="00827320" w:rsidRPr="00827320" w:rsidRDefault="00827320" w:rsidP="00827320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</w:rPr>
        <w:t>프로젝트 자금 조성을 위해 관리예비비 산정치도 산출할 수 있다.</w:t>
      </w:r>
    </w:p>
    <w:p w:rsidR="00827320" w:rsidRDefault="00827320" w:rsidP="00827320">
      <w:pPr>
        <w:rPr>
          <w:b/>
          <w:sz w:val="24"/>
        </w:rPr>
      </w:pPr>
    </w:p>
    <w:p w:rsidR="00827320" w:rsidRDefault="00827320" w:rsidP="00827320">
      <w:pPr>
        <w:ind w:leftChars="200" w:left="400"/>
      </w:pPr>
      <w:r>
        <w:rPr>
          <w:rFonts w:hint="eastAsia"/>
        </w:rPr>
        <w:t>7.2.2.7 풀질비용(C00)</w:t>
      </w:r>
    </w:p>
    <w:p w:rsidR="00827320" w:rsidRPr="00827320" w:rsidRDefault="00827320" w:rsidP="00827320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</w:rPr>
        <w:t>품질비용에 대한 가정을 이용하여 활동원가 산정치를 준비할 수 있다.</w:t>
      </w:r>
    </w:p>
    <w:p w:rsidR="00827320" w:rsidRDefault="00827320" w:rsidP="00827320">
      <w:pPr>
        <w:ind w:leftChars="200" w:left="400"/>
      </w:pPr>
    </w:p>
    <w:p w:rsidR="00827320" w:rsidRDefault="00827320" w:rsidP="00827320">
      <w:pPr>
        <w:ind w:leftChars="200" w:left="400"/>
      </w:pPr>
      <w:r>
        <w:rPr>
          <w:rFonts w:hint="eastAsia"/>
        </w:rPr>
        <w:t>7.2.2.8 프로젝트관리 소프트웨어</w:t>
      </w:r>
    </w:p>
    <w:p w:rsidR="00827320" w:rsidRPr="008A092D" w:rsidRDefault="00827320" w:rsidP="00827320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</w:rPr>
        <w:t>소프트웨어 프로그램, 전산화된 스프레드시트, 시뮬레이션 및 통계 도구가 유용하게 활용된다. 이러한 도구를 사용하면 일부 원가산정 기법을 쉽게 활용할 수 있기 때문에 원가산정 대안을 신속하게 고려할 수 있다.</w:t>
      </w:r>
    </w:p>
    <w:p w:rsidR="00827320" w:rsidRPr="00827320" w:rsidRDefault="00827320" w:rsidP="00827320">
      <w:pPr>
        <w:rPr>
          <w:b/>
          <w:sz w:val="24"/>
        </w:rPr>
      </w:pPr>
    </w:p>
    <w:p w:rsidR="00827320" w:rsidRDefault="00827320" w:rsidP="00827320">
      <w:pPr>
        <w:ind w:leftChars="200" w:left="400"/>
      </w:pPr>
      <w:r>
        <w:rPr>
          <w:rFonts w:hint="eastAsia"/>
        </w:rPr>
        <w:t>7.2.2.9 판매자 입찰 분석</w:t>
      </w:r>
    </w:p>
    <w:p w:rsidR="00827320" w:rsidRPr="00827320" w:rsidRDefault="00827320" w:rsidP="00827320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</w:rPr>
        <w:t xml:space="preserve">자격을 갖출 판매자의 응찰에 근거하여 수행하는 프로젝트 원가분석을 원가 산정기법에 포함시킬 수 있다. </w:t>
      </w:r>
    </w:p>
    <w:p w:rsidR="00827320" w:rsidRDefault="00827320" w:rsidP="00827320">
      <w:pPr>
        <w:rPr>
          <w:b/>
          <w:sz w:val="24"/>
        </w:rPr>
      </w:pPr>
    </w:p>
    <w:p w:rsidR="00827320" w:rsidRDefault="00827320" w:rsidP="00827320">
      <w:pPr>
        <w:ind w:leftChars="200" w:left="400"/>
      </w:pPr>
      <w:r>
        <w:rPr>
          <w:rFonts w:hint="eastAsia"/>
        </w:rPr>
        <w:t>7.2.2.10 집단원가의사결정 기법</w:t>
      </w:r>
    </w:p>
    <w:p w:rsidR="00827320" w:rsidRPr="008A092D" w:rsidRDefault="00827320" w:rsidP="00827320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</w:rPr>
        <w:t xml:space="preserve">브레인스토밍, 델파이기법, 명목집단기법과 같은 팀 주도 방식은 산정 정확도를 개선하기 위해 팀원을 참여시키고 새로운 산정에 전념하도록 유도하는데 유용하다. 산정 프로세스 작업의 기술적 실행과 밀접하게 연관된 </w:t>
      </w:r>
      <w:r w:rsidR="002638F2">
        <w:rPr>
          <w:rFonts w:hint="eastAsia"/>
        </w:rPr>
        <w:t xml:space="preserve">사람들로 조직된 집단이 참여하면 추가 정보가 확보되고 산정치 정확성이 향상된다. </w:t>
      </w:r>
    </w:p>
    <w:p w:rsidR="00827320" w:rsidRPr="002638F2" w:rsidRDefault="00827320" w:rsidP="00827320">
      <w:pPr>
        <w:rPr>
          <w:b/>
          <w:sz w:val="24"/>
        </w:rPr>
      </w:pPr>
    </w:p>
    <w:p w:rsidR="005402D2" w:rsidRDefault="005402D2" w:rsidP="005402D2">
      <w:pPr>
        <w:ind w:leftChars="100" w:left="200"/>
      </w:pPr>
      <w:r>
        <w:rPr>
          <w:rFonts w:hint="eastAsia"/>
        </w:rPr>
        <w:t>7.2.3 원가산정: 산출물</w:t>
      </w:r>
    </w:p>
    <w:p w:rsidR="005402D2" w:rsidRDefault="005402D2" w:rsidP="005402D2">
      <w:pPr>
        <w:ind w:leftChars="200" w:left="400"/>
      </w:pPr>
      <w:r>
        <w:rPr>
          <w:rFonts w:hint="eastAsia"/>
        </w:rPr>
        <w:t>7.2.3.1 활동원가 산정치</w:t>
      </w:r>
    </w:p>
    <w:p w:rsidR="005402D2" w:rsidRPr="005402D2" w:rsidRDefault="005402D2" w:rsidP="005402D2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</w:rPr>
        <w:t>프로젝트작업을 완료하기 위하여 필요한 원가를 정량적으로 평가한 수치이다.</w:t>
      </w:r>
    </w:p>
    <w:p w:rsidR="005402D2" w:rsidRDefault="005402D2" w:rsidP="005402D2">
      <w:pPr>
        <w:rPr>
          <w:b/>
          <w:sz w:val="24"/>
        </w:rPr>
      </w:pPr>
    </w:p>
    <w:p w:rsidR="005402D2" w:rsidRDefault="005402D2" w:rsidP="005402D2">
      <w:pPr>
        <w:ind w:leftChars="200" w:left="400"/>
      </w:pPr>
      <w:r>
        <w:rPr>
          <w:rFonts w:hint="eastAsia"/>
        </w:rPr>
        <w:t>7.2.3.2 산정 기준서</w:t>
      </w:r>
    </w:p>
    <w:p w:rsidR="005402D2" w:rsidRPr="005402D2" w:rsidRDefault="005402D2" w:rsidP="005402D2">
      <w:pPr>
        <w:pStyle w:val="a3"/>
        <w:numPr>
          <w:ilvl w:val="0"/>
          <w:numId w:val="1"/>
        </w:numPr>
        <w:ind w:leftChars="0"/>
        <w:rPr>
          <w:szCs w:val="20"/>
        </w:rPr>
      </w:pPr>
      <w:r w:rsidRPr="005402D2">
        <w:rPr>
          <w:rFonts w:hint="eastAsia"/>
          <w:szCs w:val="20"/>
        </w:rPr>
        <w:t>활동원가 산정치를 뒷받침하는 상세 정보의 예</w:t>
      </w:r>
    </w:p>
    <w:p w:rsidR="005402D2" w:rsidRPr="005402D2" w:rsidRDefault="005402D2" w:rsidP="005402D2">
      <w:pPr>
        <w:pStyle w:val="a3"/>
        <w:numPr>
          <w:ilvl w:val="0"/>
          <w:numId w:val="26"/>
        </w:numPr>
        <w:ind w:leftChars="0"/>
        <w:rPr>
          <w:szCs w:val="20"/>
        </w:rPr>
      </w:pPr>
      <w:r w:rsidRPr="005402D2">
        <w:rPr>
          <w:rFonts w:hint="eastAsia"/>
          <w:szCs w:val="20"/>
        </w:rPr>
        <w:t>산정치 기준(산정방법)을 기술한 문서</w:t>
      </w:r>
    </w:p>
    <w:p w:rsidR="005402D2" w:rsidRPr="005402D2" w:rsidRDefault="005402D2" w:rsidP="005402D2">
      <w:pPr>
        <w:pStyle w:val="a3"/>
        <w:numPr>
          <w:ilvl w:val="0"/>
          <w:numId w:val="26"/>
        </w:numPr>
        <w:ind w:leftChars="0"/>
        <w:rPr>
          <w:szCs w:val="20"/>
        </w:rPr>
      </w:pPr>
      <w:r w:rsidRPr="005402D2">
        <w:rPr>
          <w:rFonts w:hint="eastAsia"/>
          <w:szCs w:val="20"/>
        </w:rPr>
        <w:t>모든 가정이 기술된 문서</w:t>
      </w:r>
    </w:p>
    <w:p w:rsidR="005402D2" w:rsidRPr="005402D2" w:rsidRDefault="005402D2" w:rsidP="005402D2">
      <w:pPr>
        <w:pStyle w:val="a3"/>
        <w:numPr>
          <w:ilvl w:val="0"/>
          <w:numId w:val="26"/>
        </w:numPr>
        <w:ind w:leftChars="0"/>
        <w:rPr>
          <w:szCs w:val="20"/>
        </w:rPr>
      </w:pPr>
      <w:r w:rsidRPr="005402D2">
        <w:rPr>
          <w:rFonts w:hint="eastAsia"/>
          <w:szCs w:val="20"/>
        </w:rPr>
        <w:t>알려진 제약이 기술된 문서</w:t>
      </w:r>
    </w:p>
    <w:p w:rsidR="005402D2" w:rsidRPr="005402D2" w:rsidRDefault="005402D2" w:rsidP="005402D2">
      <w:pPr>
        <w:pStyle w:val="a3"/>
        <w:numPr>
          <w:ilvl w:val="0"/>
          <w:numId w:val="26"/>
        </w:numPr>
        <w:ind w:leftChars="0"/>
        <w:rPr>
          <w:szCs w:val="20"/>
        </w:rPr>
      </w:pPr>
      <w:r w:rsidRPr="005402D2">
        <w:rPr>
          <w:rFonts w:hint="eastAsia"/>
          <w:szCs w:val="20"/>
        </w:rPr>
        <w:lastRenderedPageBreak/>
        <w:t>가능한 산정치 범위표시로 품목이 예상 원가범위 값 표시</w:t>
      </w:r>
    </w:p>
    <w:p w:rsidR="005402D2" w:rsidRPr="005402D2" w:rsidRDefault="005402D2" w:rsidP="005402D2">
      <w:pPr>
        <w:pStyle w:val="a3"/>
        <w:numPr>
          <w:ilvl w:val="0"/>
          <w:numId w:val="26"/>
        </w:numPr>
        <w:ind w:leftChars="0"/>
        <w:rPr>
          <w:szCs w:val="20"/>
        </w:rPr>
      </w:pPr>
      <w:r w:rsidRPr="005402D2">
        <w:rPr>
          <w:rFonts w:hint="eastAsia"/>
          <w:szCs w:val="20"/>
        </w:rPr>
        <w:t>최종 산정치의 신뢰도 수준</w:t>
      </w:r>
    </w:p>
    <w:p w:rsidR="005402D2" w:rsidRDefault="00827320" w:rsidP="005402D2">
      <w:pPr>
        <w:ind w:leftChars="200" w:left="400"/>
      </w:pPr>
      <w:r w:rsidRPr="005402D2">
        <w:rPr>
          <w:rFonts w:hint="eastAsia"/>
          <w:szCs w:val="20"/>
        </w:rPr>
        <w:t xml:space="preserve"> </w:t>
      </w:r>
      <w:r w:rsidR="005402D2">
        <w:rPr>
          <w:rFonts w:hint="eastAsia"/>
        </w:rPr>
        <w:t>7.2.3.3 프로젝트 문서 갱신</w:t>
      </w:r>
    </w:p>
    <w:p w:rsidR="005402D2" w:rsidRPr="008A092D" w:rsidRDefault="005402D2" w:rsidP="005402D2">
      <w:pPr>
        <w:pStyle w:val="a3"/>
        <w:numPr>
          <w:ilvl w:val="0"/>
          <w:numId w:val="1"/>
        </w:numPr>
        <w:ind w:leftChars="0"/>
        <w:rPr>
          <w:b/>
          <w:sz w:val="24"/>
        </w:rPr>
      </w:pPr>
      <w:r>
        <w:rPr>
          <w:rFonts w:hint="eastAsia"/>
        </w:rPr>
        <w:t>리스크 관리대장을 포함하여 갱신될 수 있는 프로젝트 문서들</w:t>
      </w:r>
    </w:p>
    <w:p w:rsidR="00827320" w:rsidRPr="005402D2" w:rsidRDefault="00827320" w:rsidP="00827320">
      <w:pPr>
        <w:rPr>
          <w:szCs w:val="20"/>
        </w:rPr>
      </w:pPr>
    </w:p>
    <w:p w:rsidR="00827320" w:rsidRPr="005402D2" w:rsidRDefault="00827320" w:rsidP="00827320">
      <w:pPr>
        <w:rPr>
          <w:szCs w:val="20"/>
        </w:rPr>
      </w:pPr>
    </w:p>
    <w:p w:rsidR="00147247" w:rsidRDefault="00147247">
      <w:pPr>
        <w:widowControl/>
        <w:wordWrap/>
        <w:autoSpaceDE/>
        <w:autoSpaceDN/>
        <w:jc w:val="left"/>
        <w:rPr>
          <w:szCs w:val="20"/>
        </w:rPr>
        <w:sectPr w:rsidR="00147247" w:rsidSect="00146D8D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  <w:r>
        <w:rPr>
          <w:szCs w:val="20"/>
        </w:rPr>
        <w:br w:type="page"/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single" w:sz="24" w:space="0" w:color="000000" w:themeColor="text1"/>
          <w:right w:val="none" w:sz="0" w:space="0" w:color="auto"/>
        </w:tblBorders>
        <w:tblLook w:val="04A0"/>
      </w:tblPr>
      <w:tblGrid>
        <w:gridCol w:w="1537"/>
        <w:gridCol w:w="1538"/>
        <w:gridCol w:w="1538"/>
        <w:gridCol w:w="1537"/>
        <w:gridCol w:w="1354"/>
        <w:gridCol w:w="184"/>
        <w:gridCol w:w="1538"/>
        <w:gridCol w:w="1537"/>
        <w:gridCol w:w="1538"/>
        <w:gridCol w:w="1538"/>
        <w:gridCol w:w="1538"/>
      </w:tblGrid>
      <w:tr w:rsidR="00147247" w:rsidTr="00147247">
        <w:trPr>
          <w:trHeight w:val="636"/>
        </w:trPr>
        <w:tc>
          <w:tcPr>
            <w:tcW w:w="15377" w:type="dxa"/>
            <w:gridSpan w:val="11"/>
            <w:tcBorders>
              <w:top w:val="nil"/>
              <w:bottom w:val="single" w:sz="24" w:space="0" w:color="000000" w:themeColor="text1"/>
            </w:tcBorders>
            <w:vAlign w:val="center"/>
          </w:tcPr>
          <w:p w:rsidR="00147247" w:rsidRPr="006C0AE2" w:rsidRDefault="00147247" w:rsidP="00147247">
            <w:pPr>
              <w:jc w:val="center"/>
              <w:rPr>
                <w:b/>
              </w:rPr>
            </w:pPr>
            <w:r w:rsidRPr="00147247">
              <w:rPr>
                <w:rFonts w:hint="eastAsia"/>
                <w:b/>
                <w:sz w:val="32"/>
              </w:rPr>
              <w:lastRenderedPageBreak/>
              <w:t>활동 원가 산정치</w:t>
            </w:r>
          </w:p>
        </w:tc>
      </w:tr>
      <w:tr w:rsidR="00147247" w:rsidTr="00147247">
        <w:trPr>
          <w:trHeight w:val="297"/>
        </w:trPr>
        <w:tc>
          <w:tcPr>
            <w:tcW w:w="15377" w:type="dxa"/>
            <w:gridSpan w:val="11"/>
            <w:tcBorders>
              <w:top w:val="single" w:sz="24" w:space="0" w:color="000000" w:themeColor="text1"/>
            </w:tcBorders>
            <w:vAlign w:val="center"/>
          </w:tcPr>
          <w:p w:rsidR="00147247" w:rsidRDefault="00147247" w:rsidP="00B55BBC"/>
        </w:tc>
      </w:tr>
      <w:tr w:rsidR="00147247" w:rsidTr="00147247">
        <w:trPr>
          <w:trHeight w:val="366"/>
        </w:trPr>
        <w:tc>
          <w:tcPr>
            <w:tcW w:w="7504" w:type="dxa"/>
            <w:gridSpan w:val="5"/>
            <w:vAlign w:val="center"/>
          </w:tcPr>
          <w:p w:rsidR="00147247" w:rsidRPr="006C0AE2" w:rsidRDefault="00147247" w:rsidP="00B55BBC">
            <w:pPr>
              <w:rPr>
                <w:b/>
              </w:rPr>
            </w:pPr>
            <w:r w:rsidRPr="006C0AE2">
              <w:rPr>
                <w:rFonts w:hint="eastAsia"/>
                <w:b/>
              </w:rPr>
              <w:t>프로젝트 명:</w:t>
            </w:r>
          </w:p>
        </w:tc>
        <w:tc>
          <w:tcPr>
            <w:tcW w:w="7873" w:type="dxa"/>
            <w:gridSpan w:val="6"/>
            <w:vAlign w:val="center"/>
          </w:tcPr>
          <w:p w:rsidR="00147247" w:rsidRPr="006C0AE2" w:rsidRDefault="00147247" w:rsidP="00B55BBC">
            <w:pPr>
              <w:rPr>
                <w:b/>
              </w:rPr>
            </w:pPr>
            <w:r w:rsidRPr="006C0AE2">
              <w:rPr>
                <w:rFonts w:hint="eastAsia"/>
                <w:b/>
              </w:rPr>
              <w:t>프로젝트 기간:</w:t>
            </w:r>
          </w:p>
        </w:tc>
      </w:tr>
      <w:tr w:rsidR="00147247" w:rsidTr="00147247">
        <w:trPr>
          <w:trHeight w:val="346"/>
        </w:trPr>
        <w:tc>
          <w:tcPr>
            <w:tcW w:w="15377" w:type="dxa"/>
            <w:gridSpan w:val="11"/>
            <w:tcBorders>
              <w:bottom w:val="single" w:sz="4" w:space="0" w:color="000000" w:themeColor="text1"/>
            </w:tcBorders>
            <w:vAlign w:val="center"/>
          </w:tcPr>
          <w:p w:rsidR="00147247" w:rsidRPr="006C0AE2" w:rsidRDefault="00147247" w:rsidP="00B55BBC">
            <w:pPr>
              <w:rPr>
                <w:b/>
              </w:rPr>
            </w:pPr>
          </w:p>
        </w:tc>
      </w:tr>
      <w:tr w:rsidR="00147247" w:rsidTr="00147247">
        <w:trPr>
          <w:trHeight w:val="636"/>
        </w:trPr>
        <w:tc>
          <w:tcPr>
            <w:tcW w:w="153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D9D9D9" w:themeFill="background1" w:themeFillShade="D9"/>
            <w:vAlign w:val="center"/>
          </w:tcPr>
          <w:p w:rsidR="00147247" w:rsidRPr="006C0AE2" w:rsidRDefault="00147247" w:rsidP="00B55BB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WBS ID</w:t>
            </w:r>
          </w:p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D9D9D9" w:themeFill="background1" w:themeFillShade="D9"/>
            <w:vAlign w:val="center"/>
          </w:tcPr>
          <w:p w:rsidR="00147247" w:rsidRPr="006C0AE2" w:rsidRDefault="00147247" w:rsidP="00B55BB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자원</w:t>
            </w:r>
          </w:p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D9D9D9" w:themeFill="background1" w:themeFillShade="D9"/>
            <w:vAlign w:val="center"/>
          </w:tcPr>
          <w:p w:rsidR="00147247" w:rsidRPr="006C0AE2" w:rsidRDefault="00147247" w:rsidP="00B55BB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직접 비용</w:t>
            </w:r>
          </w:p>
        </w:tc>
        <w:tc>
          <w:tcPr>
            <w:tcW w:w="153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D9D9D9" w:themeFill="background1" w:themeFillShade="D9"/>
            <w:vAlign w:val="center"/>
          </w:tcPr>
          <w:p w:rsidR="00147247" w:rsidRPr="006C0AE2" w:rsidRDefault="00147247" w:rsidP="00B55BB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간접 비용</w:t>
            </w:r>
          </w:p>
        </w:tc>
        <w:tc>
          <w:tcPr>
            <w:tcW w:w="1538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D9D9D9" w:themeFill="background1" w:themeFillShade="D9"/>
            <w:vAlign w:val="center"/>
          </w:tcPr>
          <w:p w:rsidR="00147247" w:rsidRPr="006C0AE2" w:rsidRDefault="00147247" w:rsidP="00B55BB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예비</w:t>
            </w:r>
          </w:p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D9D9D9" w:themeFill="background1" w:themeFillShade="D9"/>
            <w:vAlign w:val="center"/>
          </w:tcPr>
          <w:p w:rsidR="00147247" w:rsidRPr="006C0AE2" w:rsidRDefault="00147247" w:rsidP="00B55BB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산정</w:t>
            </w:r>
          </w:p>
        </w:tc>
        <w:tc>
          <w:tcPr>
            <w:tcW w:w="153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D9D9D9" w:themeFill="background1" w:themeFillShade="D9"/>
            <w:vAlign w:val="center"/>
          </w:tcPr>
          <w:p w:rsidR="00147247" w:rsidRPr="006C0AE2" w:rsidRDefault="00147247" w:rsidP="00B55BB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추정/제약</w:t>
            </w:r>
          </w:p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D9D9D9" w:themeFill="background1" w:themeFillShade="D9"/>
            <w:vAlign w:val="center"/>
          </w:tcPr>
          <w:p w:rsidR="00147247" w:rsidRPr="006C0AE2" w:rsidRDefault="00147247" w:rsidP="00B55BB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추가 정보</w:t>
            </w:r>
          </w:p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D9D9D9" w:themeFill="background1" w:themeFillShade="D9"/>
            <w:vAlign w:val="center"/>
          </w:tcPr>
          <w:p w:rsidR="00147247" w:rsidRPr="006C0AE2" w:rsidRDefault="00147247" w:rsidP="00B55BB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범위</w:t>
            </w:r>
          </w:p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D9D9D9" w:themeFill="background1" w:themeFillShade="D9"/>
            <w:vAlign w:val="center"/>
          </w:tcPr>
          <w:p w:rsidR="00147247" w:rsidRPr="006C0AE2" w:rsidRDefault="00147247" w:rsidP="00B55BB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정확도</w:t>
            </w:r>
          </w:p>
        </w:tc>
      </w:tr>
      <w:tr w:rsidR="00147247" w:rsidTr="00147247">
        <w:trPr>
          <w:trHeight w:val="485"/>
        </w:trPr>
        <w:tc>
          <w:tcPr>
            <w:tcW w:w="153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</w:tr>
      <w:tr w:rsidR="00147247" w:rsidTr="00147247">
        <w:trPr>
          <w:trHeight w:val="485"/>
        </w:trPr>
        <w:tc>
          <w:tcPr>
            <w:tcW w:w="153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</w:tr>
      <w:tr w:rsidR="00147247" w:rsidTr="00147247">
        <w:trPr>
          <w:trHeight w:val="485"/>
        </w:trPr>
        <w:tc>
          <w:tcPr>
            <w:tcW w:w="153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</w:tr>
      <w:tr w:rsidR="00147247" w:rsidTr="00147247">
        <w:trPr>
          <w:trHeight w:val="485"/>
        </w:trPr>
        <w:tc>
          <w:tcPr>
            <w:tcW w:w="153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</w:tr>
      <w:tr w:rsidR="00147247" w:rsidTr="00147247">
        <w:trPr>
          <w:trHeight w:val="485"/>
        </w:trPr>
        <w:tc>
          <w:tcPr>
            <w:tcW w:w="153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</w:tr>
      <w:tr w:rsidR="00147247" w:rsidTr="00147247">
        <w:trPr>
          <w:trHeight w:val="485"/>
        </w:trPr>
        <w:tc>
          <w:tcPr>
            <w:tcW w:w="153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</w:tr>
      <w:tr w:rsidR="00147247" w:rsidTr="00147247">
        <w:trPr>
          <w:trHeight w:val="485"/>
        </w:trPr>
        <w:tc>
          <w:tcPr>
            <w:tcW w:w="153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</w:tr>
      <w:tr w:rsidR="00147247" w:rsidTr="00147247">
        <w:trPr>
          <w:trHeight w:val="485"/>
        </w:trPr>
        <w:tc>
          <w:tcPr>
            <w:tcW w:w="153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</w:tr>
      <w:tr w:rsidR="00147247" w:rsidTr="00147247">
        <w:trPr>
          <w:trHeight w:val="485"/>
        </w:trPr>
        <w:tc>
          <w:tcPr>
            <w:tcW w:w="153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</w:tr>
      <w:tr w:rsidR="00147247" w:rsidTr="00147247">
        <w:trPr>
          <w:trHeight w:val="485"/>
        </w:trPr>
        <w:tc>
          <w:tcPr>
            <w:tcW w:w="1537" w:type="dxa"/>
            <w:tcBorders>
              <w:top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7" w:type="dxa"/>
            <w:tcBorders>
              <w:top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gridSpan w:val="2"/>
            <w:tcBorders>
              <w:top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7" w:type="dxa"/>
            <w:tcBorders>
              <w:top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</w:tcBorders>
            <w:vAlign w:val="center"/>
          </w:tcPr>
          <w:p w:rsidR="00147247" w:rsidRDefault="00147247" w:rsidP="00B55BBC"/>
        </w:tc>
      </w:tr>
      <w:tr w:rsidR="00147247" w:rsidTr="00147247">
        <w:trPr>
          <w:trHeight w:val="485"/>
        </w:trPr>
        <w:tc>
          <w:tcPr>
            <w:tcW w:w="1537" w:type="dxa"/>
            <w:vAlign w:val="center"/>
          </w:tcPr>
          <w:p w:rsidR="00147247" w:rsidRDefault="00147247" w:rsidP="00B55BBC"/>
        </w:tc>
        <w:tc>
          <w:tcPr>
            <w:tcW w:w="1538" w:type="dxa"/>
            <w:vAlign w:val="center"/>
          </w:tcPr>
          <w:p w:rsidR="00147247" w:rsidRDefault="00147247" w:rsidP="00B55BBC"/>
        </w:tc>
        <w:tc>
          <w:tcPr>
            <w:tcW w:w="1538" w:type="dxa"/>
            <w:vAlign w:val="center"/>
          </w:tcPr>
          <w:p w:rsidR="00147247" w:rsidRDefault="00147247" w:rsidP="00B55BBC"/>
        </w:tc>
        <w:tc>
          <w:tcPr>
            <w:tcW w:w="1537" w:type="dxa"/>
            <w:shd w:val="clear" w:color="auto" w:fill="auto"/>
            <w:vAlign w:val="center"/>
          </w:tcPr>
          <w:p w:rsidR="00147247" w:rsidRDefault="00147247" w:rsidP="00B55BBC"/>
        </w:tc>
        <w:tc>
          <w:tcPr>
            <w:tcW w:w="1538" w:type="dxa"/>
            <w:gridSpan w:val="2"/>
            <w:shd w:val="clear" w:color="auto" w:fill="auto"/>
            <w:vAlign w:val="center"/>
          </w:tcPr>
          <w:p w:rsidR="00147247" w:rsidRDefault="00147247" w:rsidP="00B55BBC"/>
        </w:tc>
        <w:tc>
          <w:tcPr>
            <w:tcW w:w="1538" w:type="dxa"/>
            <w:shd w:val="clear" w:color="auto" w:fill="auto"/>
            <w:vAlign w:val="center"/>
          </w:tcPr>
          <w:p w:rsidR="00147247" w:rsidRDefault="00147247" w:rsidP="00B55BBC"/>
        </w:tc>
        <w:tc>
          <w:tcPr>
            <w:tcW w:w="1537" w:type="dxa"/>
            <w:shd w:val="clear" w:color="auto" w:fill="auto"/>
            <w:vAlign w:val="center"/>
          </w:tcPr>
          <w:p w:rsidR="00147247" w:rsidRDefault="00147247" w:rsidP="00B55BBC"/>
        </w:tc>
        <w:tc>
          <w:tcPr>
            <w:tcW w:w="1538" w:type="dxa"/>
            <w:shd w:val="clear" w:color="auto" w:fill="auto"/>
            <w:vAlign w:val="center"/>
          </w:tcPr>
          <w:p w:rsidR="00147247" w:rsidRDefault="00147247" w:rsidP="00B55BBC"/>
        </w:tc>
        <w:tc>
          <w:tcPr>
            <w:tcW w:w="1538" w:type="dxa"/>
            <w:shd w:val="clear" w:color="auto" w:fill="auto"/>
            <w:vAlign w:val="center"/>
          </w:tcPr>
          <w:p w:rsidR="00147247" w:rsidRDefault="00147247" w:rsidP="00B55BBC"/>
        </w:tc>
        <w:tc>
          <w:tcPr>
            <w:tcW w:w="1538" w:type="dxa"/>
            <w:shd w:val="clear" w:color="auto" w:fill="auto"/>
            <w:vAlign w:val="center"/>
          </w:tcPr>
          <w:p w:rsidR="00147247" w:rsidRDefault="00147247" w:rsidP="00B55BBC"/>
        </w:tc>
      </w:tr>
      <w:tr w:rsidR="00147247" w:rsidTr="00147247">
        <w:trPr>
          <w:trHeight w:val="485"/>
        </w:trPr>
        <w:tc>
          <w:tcPr>
            <w:tcW w:w="1537" w:type="dxa"/>
            <w:vAlign w:val="center"/>
          </w:tcPr>
          <w:p w:rsidR="00147247" w:rsidRDefault="00147247" w:rsidP="00B55BBC"/>
        </w:tc>
        <w:tc>
          <w:tcPr>
            <w:tcW w:w="1538" w:type="dxa"/>
            <w:vAlign w:val="center"/>
          </w:tcPr>
          <w:p w:rsidR="00147247" w:rsidRDefault="00147247" w:rsidP="00B55BBC"/>
        </w:tc>
        <w:tc>
          <w:tcPr>
            <w:tcW w:w="1538" w:type="dxa"/>
            <w:vAlign w:val="center"/>
          </w:tcPr>
          <w:p w:rsidR="00147247" w:rsidRDefault="00147247" w:rsidP="00B55BBC"/>
        </w:tc>
        <w:tc>
          <w:tcPr>
            <w:tcW w:w="1537" w:type="dxa"/>
            <w:shd w:val="clear" w:color="auto" w:fill="auto"/>
            <w:vAlign w:val="center"/>
          </w:tcPr>
          <w:p w:rsidR="00147247" w:rsidRDefault="00147247" w:rsidP="00B55BBC"/>
        </w:tc>
        <w:tc>
          <w:tcPr>
            <w:tcW w:w="1538" w:type="dxa"/>
            <w:gridSpan w:val="2"/>
            <w:shd w:val="clear" w:color="auto" w:fill="auto"/>
            <w:vAlign w:val="center"/>
          </w:tcPr>
          <w:p w:rsidR="00147247" w:rsidRDefault="00147247" w:rsidP="00B55BBC"/>
        </w:tc>
        <w:tc>
          <w:tcPr>
            <w:tcW w:w="1538" w:type="dxa"/>
            <w:shd w:val="clear" w:color="auto" w:fill="auto"/>
            <w:vAlign w:val="center"/>
          </w:tcPr>
          <w:p w:rsidR="00147247" w:rsidRDefault="00147247" w:rsidP="00B55BBC"/>
        </w:tc>
        <w:tc>
          <w:tcPr>
            <w:tcW w:w="1537" w:type="dxa"/>
            <w:shd w:val="clear" w:color="auto" w:fill="auto"/>
            <w:vAlign w:val="center"/>
          </w:tcPr>
          <w:p w:rsidR="00147247" w:rsidRDefault="00147247" w:rsidP="00B55BBC"/>
        </w:tc>
        <w:tc>
          <w:tcPr>
            <w:tcW w:w="1538" w:type="dxa"/>
            <w:shd w:val="clear" w:color="auto" w:fill="auto"/>
            <w:vAlign w:val="center"/>
          </w:tcPr>
          <w:p w:rsidR="00147247" w:rsidRDefault="00147247" w:rsidP="00B55BBC"/>
        </w:tc>
        <w:tc>
          <w:tcPr>
            <w:tcW w:w="1538" w:type="dxa"/>
            <w:shd w:val="clear" w:color="auto" w:fill="auto"/>
            <w:vAlign w:val="center"/>
          </w:tcPr>
          <w:p w:rsidR="00147247" w:rsidRDefault="00147247" w:rsidP="00B55BBC"/>
        </w:tc>
        <w:tc>
          <w:tcPr>
            <w:tcW w:w="1538" w:type="dxa"/>
            <w:shd w:val="clear" w:color="auto" w:fill="auto"/>
            <w:vAlign w:val="center"/>
          </w:tcPr>
          <w:p w:rsidR="00147247" w:rsidRDefault="00147247" w:rsidP="00B55BBC"/>
        </w:tc>
      </w:tr>
      <w:tr w:rsidR="00147247" w:rsidTr="00147247">
        <w:trPr>
          <w:trHeight w:val="485"/>
        </w:trPr>
        <w:tc>
          <w:tcPr>
            <w:tcW w:w="1537" w:type="dxa"/>
            <w:vAlign w:val="center"/>
          </w:tcPr>
          <w:p w:rsidR="00147247" w:rsidRDefault="00147247" w:rsidP="00B55BBC"/>
        </w:tc>
        <w:tc>
          <w:tcPr>
            <w:tcW w:w="1538" w:type="dxa"/>
            <w:vAlign w:val="center"/>
          </w:tcPr>
          <w:p w:rsidR="00147247" w:rsidRDefault="00147247" w:rsidP="00B55BBC"/>
        </w:tc>
        <w:tc>
          <w:tcPr>
            <w:tcW w:w="1538" w:type="dxa"/>
            <w:vAlign w:val="center"/>
          </w:tcPr>
          <w:p w:rsidR="00147247" w:rsidRDefault="00147247" w:rsidP="00B55BBC"/>
        </w:tc>
        <w:tc>
          <w:tcPr>
            <w:tcW w:w="1537" w:type="dxa"/>
            <w:shd w:val="clear" w:color="auto" w:fill="auto"/>
            <w:vAlign w:val="center"/>
          </w:tcPr>
          <w:p w:rsidR="00147247" w:rsidRDefault="00147247" w:rsidP="00B55BBC"/>
        </w:tc>
        <w:tc>
          <w:tcPr>
            <w:tcW w:w="1538" w:type="dxa"/>
            <w:gridSpan w:val="2"/>
            <w:shd w:val="clear" w:color="auto" w:fill="auto"/>
            <w:vAlign w:val="center"/>
          </w:tcPr>
          <w:p w:rsidR="00147247" w:rsidRDefault="00147247" w:rsidP="00B55BBC"/>
        </w:tc>
        <w:tc>
          <w:tcPr>
            <w:tcW w:w="1538" w:type="dxa"/>
            <w:shd w:val="clear" w:color="auto" w:fill="auto"/>
            <w:vAlign w:val="center"/>
          </w:tcPr>
          <w:p w:rsidR="00147247" w:rsidRDefault="00147247" w:rsidP="00B55BBC"/>
        </w:tc>
        <w:tc>
          <w:tcPr>
            <w:tcW w:w="1537" w:type="dxa"/>
            <w:shd w:val="clear" w:color="auto" w:fill="auto"/>
            <w:vAlign w:val="center"/>
          </w:tcPr>
          <w:p w:rsidR="00147247" w:rsidRDefault="00147247" w:rsidP="00B55BBC"/>
        </w:tc>
        <w:tc>
          <w:tcPr>
            <w:tcW w:w="1538" w:type="dxa"/>
            <w:shd w:val="clear" w:color="auto" w:fill="auto"/>
            <w:vAlign w:val="center"/>
          </w:tcPr>
          <w:p w:rsidR="00147247" w:rsidRDefault="00147247" w:rsidP="00B55BBC"/>
        </w:tc>
        <w:tc>
          <w:tcPr>
            <w:tcW w:w="1538" w:type="dxa"/>
            <w:shd w:val="clear" w:color="auto" w:fill="auto"/>
            <w:vAlign w:val="center"/>
          </w:tcPr>
          <w:p w:rsidR="00147247" w:rsidRDefault="00147247" w:rsidP="00B55BBC"/>
        </w:tc>
        <w:tc>
          <w:tcPr>
            <w:tcW w:w="1538" w:type="dxa"/>
            <w:shd w:val="clear" w:color="auto" w:fill="auto"/>
            <w:vAlign w:val="center"/>
          </w:tcPr>
          <w:p w:rsidR="00147247" w:rsidRDefault="00147247" w:rsidP="00B55BBC"/>
        </w:tc>
      </w:tr>
      <w:tr w:rsidR="00147247" w:rsidTr="00147247">
        <w:trPr>
          <w:trHeight w:val="485"/>
        </w:trPr>
        <w:tc>
          <w:tcPr>
            <w:tcW w:w="1537" w:type="dxa"/>
            <w:tcBorders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7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147247" w:rsidRDefault="00147247" w:rsidP="00B55BBC"/>
        </w:tc>
        <w:tc>
          <w:tcPr>
            <w:tcW w:w="1538" w:type="dxa"/>
            <w:gridSpan w:val="2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147247" w:rsidRDefault="00147247" w:rsidP="00B55BBC"/>
        </w:tc>
        <w:tc>
          <w:tcPr>
            <w:tcW w:w="1537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147247" w:rsidRDefault="00147247" w:rsidP="00B55BBC"/>
        </w:tc>
      </w:tr>
      <w:tr w:rsidR="00147247" w:rsidTr="00147247">
        <w:trPr>
          <w:trHeight w:val="485"/>
        </w:trPr>
        <w:tc>
          <w:tcPr>
            <w:tcW w:w="153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147247" w:rsidRDefault="00147247" w:rsidP="00B55BBC"/>
        </w:tc>
        <w:tc>
          <w:tcPr>
            <w:tcW w:w="153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147247" w:rsidRDefault="00147247" w:rsidP="00B55BBC"/>
        </w:tc>
        <w:tc>
          <w:tcPr>
            <w:tcW w:w="1538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147247" w:rsidRDefault="00147247" w:rsidP="00B55BBC"/>
        </w:tc>
        <w:tc>
          <w:tcPr>
            <w:tcW w:w="153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147247" w:rsidRDefault="00147247" w:rsidP="00B55BBC"/>
        </w:tc>
        <w:tc>
          <w:tcPr>
            <w:tcW w:w="153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:rsidR="00147247" w:rsidRDefault="00147247" w:rsidP="00B55BBC"/>
        </w:tc>
      </w:tr>
    </w:tbl>
    <w:p w:rsidR="00147247" w:rsidRDefault="00147247">
      <w:pPr>
        <w:widowControl/>
        <w:wordWrap/>
        <w:autoSpaceDE/>
        <w:autoSpaceDN/>
        <w:jc w:val="left"/>
        <w:rPr>
          <w:szCs w:val="20"/>
        </w:rPr>
      </w:pPr>
    </w:p>
    <w:sectPr w:rsidR="00147247" w:rsidSect="00147247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60C4" w:rsidRDefault="00F760C4" w:rsidP="0094318D">
      <w:r>
        <w:separator/>
      </w:r>
    </w:p>
  </w:endnote>
  <w:endnote w:type="continuationSeparator" w:id="1">
    <w:p w:rsidR="00F760C4" w:rsidRDefault="00F760C4" w:rsidP="009431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60C4" w:rsidRDefault="00F760C4" w:rsidP="0094318D">
      <w:r>
        <w:separator/>
      </w:r>
    </w:p>
  </w:footnote>
  <w:footnote w:type="continuationSeparator" w:id="1">
    <w:p w:rsidR="00F760C4" w:rsidRDefault="00F760C4" w:rsidP="0094318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B6D7B"/>
    <w:multiLevelType w:val="hybridMultilevel"/>
    <w:tmpl w:val="9A4E342E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">
    <w:nsid w:val="0BB55584"/>
    <w:multiLevelType w:val="hybridMultilevel"/>
    <w:tmpl w:val="C85ADD8E"/>
    <w:lvl w:ilvl="0" w:tplc="04090001">
      <w:start w:val="1"/>
      <w:numFmt w:val="bullet"/>
      <w:lvlText w:val=""/>
      <w:lvlJc w:val="left"/>
      <w:pPr>
        <w:ind w:left="133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3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3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3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3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3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3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32" w:hanging="400"/>
      </w:pPr>
      <w:rPr>
        <w:rFonts w:ascii="Wingdings" w:hAnsi="Wingdings" w:hint="default"/>
      </w:rPr>
    </w:lvl>
  </w:abstractNum>
  <w:abstractNum w:abstractNumId="2">
    <w:nsid w:val="0CC524C8"/>
    <w:multiLevelType w:val="hybridMultilevel"/>
    <w:tmpl w:val="79D8FAAE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3">
    <w:nsid w:val="0E627B6D"/>
    <w:multiLevelType w:val="hybridMultilevel"/>
    <w:tmpl w:val="2FC8696A"/>
    <w:lvl w:ilvl="0" w:tplc="612ADF46">
      <w:start w:val="7"/>
      <w:numFmt w:val="bullet"/>
      <w:lvlText w:val="-"/>
      <w:lvlJc w:val="left"/>
      <w:pPr>
        <w:ind w:left="15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4">
    <w:nsid w:val="119D5E92"/>
    <w:multiLevelType w:val="hybridMultilevel"/>
    <w:tmpl w:val="839C816E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19AF0FAD"/>
    <w:multiLevelType w:val="hybridMultilevel"/>
    <w:tmpl w:val="171048E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6">
    <w:nsid w:val="292D58B2"/>
    <w:multiLevelType w:val="hybridMultilevel"/>
    <w:tmpl w:val="FF8410C0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>
    <w:nsid w:val="2B035D6F"/>
    <w:multiLevelType w:val="hybridMultilevel"/>
    <w:tmpl w:val="6F62A52A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8">
    <w:nsid w:val="2C1010B2"/>
    <w:multiLevelType w:val="hybridMultilevel"/>
    <w:tmpl w:val="B49443BC"/>
    <w:lvl w:ilvl="0" w:tplc="D5F0D666">
      <w:start w:val="1"/>
      <w:numFmt w:val="bullet"/>
      <w:lvlText w:val=""/>
      <w:lvlJc w:val="left"/>
      <w:pPr>
        <w:ind w:left="1168" w:hanging="40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"/>
      <w:lvlJc w:val="left"/>
      <w:pPr>
        <w:ind w:left="156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8" w:hanging="400"/>
      </w:pPr>
      <w:rPr>
        <w:rFonts w:ascii="Wingdings" w:hAnsi="Wingdings" w:hint="default"/>
      </w:rPr>
    </w:lvl>
  </w:abstractNum>
  <w:abstractNum w:abstractNumId="9">
    <w:nsid w:val="2D4200E7"/>
    <w:multiLevelType w:val="hybridMultilevel"/>
    <w:tmpl w:val="A406F6F0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0">
    <w:nsid w:val="31014068"/>
    <w:multiLevelType w:val="hybridMultilevel"/>
    <w:tmpl w:val="272656E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>
    <w:nsid w:val="3A46568F"/>
    <w:multiLevelType w:val="multilevel"/>
    <w:tmpl w:val="F6B6608E"/>
    <w:lvl w:ilvl="0">
      <w:start w:val="7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88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86" w:hanging="720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147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3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24" w:hanging="2160"/>
      </w:pPr>
      <w:rPr>
        <w:rFonts w:hint="default"/>
      </w:rPr>
    </w:lvl>
  </w:abstractNum>
  <w:abstractNum w:abstractNumId="12">
    <w:nsid w:val="3ACA1488"/>
    <w:multiLevelType w:val="hybridMultilevel"/>
    <w:tmpl w:val="83664598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3">
    <w:nsid w:val="3D094A89"/>
    <w:multiLevelType w:val="hybridMultilevel"/>
    <w:tmpl w:val="64769C9E"/>
    <w:lvl w:ilvl="0" w:tplc="0409000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00" w:hanging="400"/>
      </w:pPr>
      <w:rPr>
        <w:rFonts w:ascii="Wingdings" w:hAnsi="Wingdings" w:hint="default"/>
      </w:rPr>
    </w:lvl>
  </w:abstractNum>
  <w:abstractNum w:abstractNumId="14">
    <w:nsid w:val="3D2D1AB0"/>
    <w:multiLevelType w:val="hybridMultilevel"/>
    <w:tmpl w:val="1BEC8A60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5">
    <w:nsid w:val="49F20475"/>
    <w:multiLevelType w:val="hybridMultilevel"/>
    <w:tmpl w:val="F81023A6"/>
    <w:lvl w:ilvl="0" w:tplc="11B80B46">
      <w:start w:val="7"/>
      <w:numFmt w:val="bullet"/>
      <w:lvlText w:val="-"/>
      <w:lvlJc w:val="left"/>
      <w:pPr>
        <w:ind w:left="3045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348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88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28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68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08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48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88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285" w:hanging="400"/>
      </w:pPr>
      <w:rPr>
        <w:rFonts w:ascii="Wingdings" w:hAnsi="Wingdings" w:hint="default"/>
      </w:rPr>
    </w:lvl>
  </w:abstractNum>
  <w:abstractNum w:abstractNumId="16">
    <w:nsid w:val="51AA1E4D"/>
    <w:multiLevelType w:val="hybridMultilevel"/>
    <w:tmpl w:val="3C7CB11A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7">
    <w:nsid w:val="526D5C22"/>
    <w:multiLevelType w:val="hybridMultilevel"/>
    <w:tmpl w:val="9CAE3052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8">
    <w:nsid w:val="58E807E6"/>
    <w:multiLevelType w:val="hybridMultilevel"/>
    <w:tmpl w:val="7CAE8C2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19">
    <w:nsid w:val="5B4F420B"/>
    <w:multiLevelType w:val="hybridMultilevel"/>
    <w:tmpl w:val="B6F0A2EC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0">
    <w:nsid w:val="6A7A0D51"/>
    <w:multiLevelType w:val="hybridMultilevel"/>
    <w:tmpl w:val="2E8E829E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1">
    <w:nsid w:val="6DF176DA"/>
    <w:multiLevelType w:val="hybridMultilevel"/>
    <w:tmpl w:val="998C21E6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2">
    <w:nsid w:val="6F530669"/>
    <w:multiLevelType w:val="hybridMultilevel"/>
    <w:tmpl w:val="22A6854C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3">
    <w:nsid w:val="74D72781"/>
    <w:multiLevelType w:val="hybridMultilevel"/>
    <w:tmpl w:val="874042CA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4">
    <w:nsid w:val="7A8D3660"/>
    <w:multiLevelType w:val="hybridMultilevel"/>
    <w:tmpl w:val="6CA43E74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5">
    <w:nsid w:val="7B374790"/>
    <w:multiLevelType w:val="hybridMultilevel"/>
    <w:tmpl w:val="41A6F9F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num w:numId="1">
    <w:abstractNumId w:val="23"/>
  </w:num>
  <w:num w:numId="2">
    <w:abstractNumId w:val="8"/>
  </w:num>
  <w:num w:numId="3">
    <w:abstractNumId w:val="10"/>
  </w:num>
  <w:num w:numId="4">
    <w:abstractNumId w:val="19"/>
  </w:num>
  <w:num w:numId="5">
    <w:abstractNumId w:val="21"/>
  </w:num>
  <w:num w:numId="6">
    <w:abstractNumId w:val="2"/>
  </w:num>
  <w:num w:numId="7">
    <w:abstractNumId w:val="22"/>
  </w:num>
  <w:num w:numId="8">
    <w:abstractNumId w:val="14"/>
  </w:num>
  <w:num w:numId="9">
    <w:abstractNumId w:val="9"/>
  </w:num>
  <w:num w:numId="10">
    <w:abstractNumId w:val="0"/>
  </w:num>
  <w:num w:numId="11">
    <w:abstractNumId w:val="7"/>
  </w:num>
  <w:num w:numId="12">
    <w:abstractNumId w:val="20"/>
  </w:num>
  <w:num w:numId="13">
    <w:abstractNumId w:val="12"/>
  </w:num>
  <w:num w:numId="14">
    <w:abstractNumId w:val="1"/>
  </w:num>
  <w:num w:numId="15">
    <w:abstractNumId w:val="17"/>
  </w:num>
  <w:num w:numId="16">
    <w:abstractNumId w:val="25"/>
  </w:num>
  <w:num w:numId="17">
    <w:abstractNumId w:val="24"/>
  </w:num>
  <w:num w:numId="18">
    <w:abstractNumId w:val="6"/>
  </w:num>
  <w:num w:numId="19">
    <w:abstractNumId w:val="18"/>
  </w:num>
  <w:num w:numId="20">
    <w:abstractNumId w:val="13"/>
  </w:num>
  <w:num w:numId="21">
    <w:abstractNumId w:val="5"/>
  </w:num>
  <w:num w:numId="22">
    <w:abstractNumId w:val="16"/>
  </w:num>
  <w:num w:numId="23">
    <w:abstractNumId w:val="4"/>
  </w:num>
  <w:num w:numId="24">
    <w:abstractNumId w:val="15"/>
  </w:num>
  <w:num w:numId="25">
    <w:abstractNumId w:val="11"/>
  </w:num>
  <w:num w:numId="2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3608"/>
    <w:rsid w:val="000B2562"/>
    <w:rsid w:val="00123608"/>
    <w:rsid w:val="00146D8D"/>
    <w:rsid w:val="00147247"/>
    <w:rsid w:val="001D5225"/>
    <w:rsid w:val="002638F2"/>
    <w:rsid w:val="0026694D"/>
    <w:rsid w:val="00280540"/>
    <w:rsid w:val="00343E2C"/>
    <w:rsid w:val="00421492"/>
    <w:rsid w:val="004311E5"/>
    <w:rsid w:val="00437170"/>
    <w:rsid w:val="004C5884"/>
    <w:rsid w:val="004E5AC3"/>
    <w:rsid w:val="004E65E8"/>
    <w:rsid w:val="004F1A4A"/>
    <w:rsid w:val="005173FA"/>
    <w:rsid w:val="005216F8"/>
    <w:rsid w:val="005402D2"/>
    <w:rsid w:val="0054400C"/>
    <w:rsid w:val="0058071A"/>
    <w:rsid w:val="00702556"/>
    <w:rsid w:val="00740F27"/>
    <w:rsid w:val="007F06B4"/>
    <w:rsid w:val="00805FD9"/>
    <w:rsid w:val="00823739"/>
    <w:rsid w:val="00827320"/>
    <w:rsid w:val="00851909"/>
    <w:rsid w:val="008A092D"/>
    <w:rsid w:val="00916FC5"/>
    <w:rsid w:val="009268F9"/>
    <w:rsid w:val="0094318D"/>
    <w:rsid w:val="00997FB4"/>
    <w:rsid w:val="009B280B"/>
    <w:rsid w:val="00AC0D1E"/>
    <w:rsid w:val="00B22031"/>
    <w:rsid w:val="00B3432D"/>
    <w:rsid w:val="00CC2172"/>
    <w:rsid w:val="00D02DC1"/>
    <w:rsid w:val="00D21526"/>
    <w:rsid w:val="00E8083F"/>
    <w:rsid w:val="00EC0717"/>
    <w:rsid w:val="00F760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D8D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3608"/>
    <w:pPr>
      <w:ind w:leftChars="400" w:left="800"/>
    </w:pPr>
  </w:style>
  <w:style w:type="character" w:styleId="a4">
    <w:name w:val="Placeholder Text"/>
    <w:basedOn w:val="a0"/>
    <w:uiPriority w:val="99"/>
    <w:semiHidden/>
    <w:rsid w:val="005216F8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5216F8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5216F8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94318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semiHidden/>
    <w:rsid w:val="0094318D"/>
  </w:style>
  <w:style w:type="paragraph" w:styleId="a7">
    <w:name w:val="footer"/>
    <w:basedOn w:val="a"/>
    <w:link w:val="Char1"/>
    <w:uiPriority w:val="99"/>
    <w:semiHidden/>
    <w:unhideWhenUsed/>
    <w:rsid w:val="0094318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semiHidden/>
    <w:rsid w:val="0094318D"/>
  </w:style>
  <w:style w:type="table" w:styleId="a8">
    <w:name w:val="Table Grid"/>
    <w:basedOn w:val="a1"/>
    <w:uiPriority w:val="59"/>
    <w:rsid w:val="0014724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Pages>5</Pages>
  <Words>455</Words>
  <Characters>2596</Characters>
  <Application>Microsoft Office Word</Application>
  <DocSecurity>0</DocSecurity>
  <Lines>21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전태보</dc:creator>
  <cp:lastModifiedBy>전태보</cp:lastModifiedBy>
  <cp:revision>11</cp:revision>
  <dcterms:created xsi:type="dcterms:W3CDTF">2014-07-07T03:33:00Z</dcterms:created>
  <dcterms:modified xsi:type="dcterms:W3CDTF">2014-08-13T11:45:00Z</dcterms:modified>
</cp:coreProperties>
</file>